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61" w:rsidRPr="00266144" w:rsidRDefault="00821F61" w:rsidP="00821F61">
      <w:pPr>
        <w:pStyle w:val="a3"/>
        <w:jc w:val="center"/>
        <w:rPr>
          <w:noProof/>
          <w:lang w:eastAsia="ru-RU"/>
        </w:rPr>
      </w:pPr>
      <w:r>
        <w:rPr>
          <w:noProof/>
          <w:lang w:eastAsia="ru-RU"/>
        </w:rPr>
        <w:t>М</w:t>
      </w:r>
      <w:r w:rsidRPr="00266144">
        <w:rPr>
          <w:noProof/>
          <w:lang w:eastAsia="ru-RU"/>
        </w:rPr>
        <w:t>униципальное бюджетное учреждение</w:t>
      </w:r>
    </w:p>
    <w:p w:rsidR="00821F61" w:rsidRPr="00266144" w:rsidRDefault="00821F61" w:rsidP="00821F61">
      <w:pPr>
        <w:pStyle w:val="a3"/>
        <w:jc w:val="center"/>
        <w:rPr>
          <w:noProof/>
          <w:lang w:eastAsia="ru-RU"/>
        </w:rPr>
      </w:pPr>
      <w:r w:rsidRPr="00266144">
        <w:rPr>
          <w:noProof/>
          <w:lang w:eastAsia="ru-RU"/>
        </w:rPr>
        <w:t>дополнительного образования</w:t>
      </w:r>
    </w:p>
    <w:p w:rsidR="00821F61" w:rsidRPr="00266144" w:rsidRDefault="00821F61" w:rsidP="00821F61">
      <w:pPr>
        <w:pStyle w:val="a3"/>
        <w:jc w:val="center"/>
        <w:rPr>
          <w:noProof/>
          <w:lang w:eastAsia="ru-RU"/>
        </w:rPr>
      </w:pPr>
      <w:r w:rsidRPr="00266144">
        <w:rPr>
          <w:noProof/>
          <w:lang w:eastAsia="ru-RU"/>
        </w:rPr>
        <w:t>«Никифоровская детская школа искусств»</w:t>
      </w:r>
    </w:p>
    <w:p w:rsidR="00821F61" w:rsidRDefault="00821F61" w:rsidP="00821F61"/>
    <w:p w:rsidR="00821F61" w:rsidRDefault="00821F61" w:rsidP="00821F61"/>
    <w:p w:rsidR="00821F61" w:rsidRDefault="00821F61" w:rsidP="00821F61"/>
    <w:p w:rsidR="00821F61" w:rsidRDefault="00821F61" w:rsidP="00821F61"/>
    <w:p w:rsidR="00821F61" w:rsidRDefault="00821F61" w:rsidP="00821F61"/>
    <w:p w:rsidR="00821F61" w:rsidRDefault="00821F61" w:rsidP="00821F61"/>
    <w:p w:rsidR="00821F61" w:rsidRPr="0099393D" w:rsidRDefault="00821F61" w:rsidP="00821F61">
      <w:pPr>
        <w:jc w:val="center"/>
        <w:rPr>
          <w:b/>
        </w:rPr>
      </w:pPr>
      <w:r w:rsidRPr="0099393D">
        <w:rPr>
          <w:b/>
        </w:rPr>
        <w:t>Методическое сообщение</w:t>
      </w:r>
    </w:p>
    <w:p w:rsidR="00821F61" w:rsidRPr="00897210" w:rsidRDefault="00821F61" w:rsidP="00821F61">
      <w:pPr>
        <w:jc w:val="center"/>
        <w:rPr>
          <w:rFonts w:eastAsia="Calibri" w:cs="Times New Roman"/>
          <w:b/>
          <w:i/>
          <w:sz w:val="32"/>
          <w:szCs w:val="32"/>
        </w:rPr>
      </w:pPr>
      <w:r w:rsidRPr="00897210">
        <w:rPr>
          <w:b/>
          <w:i/>
          <w:sz w:val="32"/>
          <w:szCs w:val="32"/>
        </w:rPr>
        <w:t>«</w:t>
      </w:r>
      <w:r w:rsidR="005052AC" w:rsidRPr="005052AC">
        <w:rPr>
          <w:b/>
          <w:i/>
          <w:sz w:val="32"/>
          <w:szCs w:val="32"/>
        </w:rPr>
        <w:t>Проблема инструментальной музыки</w:t>
      </w:r>
      <w:r w:rsidR="005052AC" w:rsidRPr="005052AC">
        <w:rPr>
          <w:b/>
          <w:i/>
          <w:sz w:val="32"/>
          <w:szCs w:val="32"/>
        </w:rPr>
        <w:tab/>
      </w:r>
      <w:r w:rsidRPr="00897210">
        <w:rPr>
          <w:rFonts w:eastAsia="Calibri" w:cs="Times New Roman"/>
          <w:b/>
          <w:i/>
          <w:sz w:val="32"/>
          <w:szCs w:val="32"/>
        </w:rPr>
        <w:t>народной гармони</w:t>
      </w:r>
      <w:r>
        <w:rPr>
          <w:rFonts w:eastAsia="Calibri" w:cs="Times New Roman"/>
          <w:b/>
          <w:i/>
          <w:sz w:val="32"/>
          <w:szCs w:val="32"/>
        </w:rPr>
        <w:t>»</w:t>
      </w:r>
    </w:p>
    <w:p w:rsidR="00821F61" w:rsidRDefault="00821F61" w:rsidP="00821F61">
      <w:pPr>
        <w:ind w:firstLine="708"/>
        <w:rPr>
          <w:rFonts w:eastAsia="Calibri" w:cs="Times New Roman"/>
          <w:b/>
          <w:sz w:val="36"/>
          <w:szCs w:val="36"/>
        </w:rPr>
      </w:pPr>
    </w:p>
    <w:p w:rsidR="00821F61" w:rsidRDefault="00821F61" w:rsidP="00821F61">
      <w:pPr>
        <w:ind w:firstLine="708"/>
        <w:rPr>
          <w:rFonts w:eastAsia="Calibri" w:cs="Times New Roman"/>
          <w:b/>
          <w:sz w:val="36"/>
          <w:szCs w:val="36"/>
        </w:rPr>
      </w:pPr>
    </w:p>
    <w:p w:rsidR="00821F61" w:rsidRDefault="00821F61" w:rsidP="00821F61">
      <w:pPr>
        <w:ind w:firstLine="708"/>
        <w:rPr>
          <w:rFonts w:eastAsia="Calibri" w:cs="Times New Roman"/>
          <w:b/>
          <w:sz w:val="36"/>
          <w:szCs w:val="36"/>
        </w:rPr>
      </w:pPr>
    </w:p>
    <w:p w:rsidR="00821F61" w:rsidRDefault="00821F61" w:rsidP="00821F61">
      <w:pPr>
        <w:ind w:firstLine="708"/>
        <w:rPr>
          <w:rFonts w:eastAsia="Calibri" w:cs="Times New Roman"/>
          <w:b/>
          <w:sz w:val="36"/>
          <w:szCs w:val="36"/>
        </w:rPr>
      </w:pPr>
    </w:p>
    <w:p w:rsidR="00821F61" w:rsidRDefault="00821F61" w:rsidP="00821F61">
      <w:pPr>
        <w:ind w:firstLine="708"/>
        <w:rPr>
          <w:rFonts w:eastAsia="Calibri" w:cs="Times New Roman"/>
          <w:b/>
          <w:sz w:val="36"/>
          <w:szCs w:val="36"/>
        </w:rPr>
      </w:pPr>
    </w:p>
    <w:p w:rsidR="00821F61" w:rsidRPr="0099393D" w:rsidRDefault="00821F61" w:rsidP="00821F61">
      <w:pPr>
        <w:ind w:firstLine="708"/>
        <w:jc w:val="right"/>
        <w:rPr>
          <w:rFonts w:eastAsia="Calibri" w:cs="Times New Roman"/>
          <w:szCs w:val="28"/>
        </w:rPr>
      </w:pPr>
      <w:r w:rsidRPr="0099393D">
        <w:rPr>
          <w:rFonts w:eastAsia="Calibri" w:cs="Times New Roman"/>
          <w:szCs w:val="28"/>
        </w:rPr>
        <w:t xml:space="preserve">Разработчик: </w:t>
      </w:r>
      <w:proofErr w:type="spellStart"/>
      <w:r w:rsidRPr="0099393D">
        <w:rPr>
          <w:rFonts w:eastAsia="Calibri" w:cs="Times New Roman"/>
          <w:szCs w:val="28"/>
        </w:rPr>
        <w:t>Патрин</w:t>
      </w:r>
      <w:proofErr w:type="spellEnd"/>
      <w:r w:rsidRPr="0099393D">
        <w:rPr>
          <w:rFonts w:eastAsia="Calibri" w:cs="Times New Roman"/>
          <w:szCs w:val="28"/>
        </w:rPr>
        <w:t xml:space="preserve"> С.А.,</w:t>
      </w:r>
    </w:p>
    <w:p w:rsidR="00821F61" w:rsidRDefault="00821F61" w:rsidP="00821F61">
      <w:pPr>
        <w:ind w:firstLine="708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преподаватель </w:t>
      </w:r>
    </w:p>
    <w:p w:rsidR="00821F61" w:rsidRPr="0099393D" w:rsidRDefault="00821F61" w:rsidP="00821F61">
      <w:pPr>
        <w:ind w:firstLine="708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МБУ ДО «</w:t>
      </w:r>
      <w:proofErr w:type="spellStart"/>
      <w:r>
        <w:rPr>
          <w:rFonts w:eastAsia="Calibri" w:cs="Times New Roman"/>
          <w:szCs w:val="28"/>
        </w:rPr>
        <w:t>Никифоровское</w:t>
      </w:r>
      <w:proofErr w:type="spellEnd"/>
      <w:r>
        <w:rPr>
          <w:rFonts w:eastAsia="Calibri" w:cs="Times New Roman"/>
          <w:szCs w:val="28"/>
        </w:rPr>
        <w:t xml:space="preserve"> ДШИ»</w:t>
      </w:r>
    </w:p>
    <w:p w:rsidR="00821F61" w:rsidRPr="0099393D" w:rsidRDefault="00821F61" w:rsidP="00821F61">
      <w:pPr>
        <w:ind w:firstLine="708"/>
        <w:rPr>
          <w:rFonts w:eastAsia="Calibri" w:cs="Times New Roman"/>
          <w:szCs w:val="28"/>
        </w:rPr>
      </w:pPr>
    </w:p>
    <w:p w:rsidR="00821F61" w:rsidRPr="0099393D" w:rsidRDefault="00821F61" w:rsidP="00821F61">
      <w:pPr>
        <w:ind w:firstLine="708"/>
        <w:rPr>
          <w:rFonts w:eastAsia="Calibri" w:cs="Times New Roman"/>
          <w:szCs w:val="28"/>
        </w:rPr>
      </w:pPr>
    </w:p>
    <w:p w:rsidR="00821F61" w:rsidRPr="0099393D" w:rsidRDefault="00821F61" w:rsidP="00821F61">
      <w:pPr>
        <w:ind w:firstLine="708"/>
        <w:rPr>
          <w:rFonts w:eastAsia="Calibri" w:cs="Times New Roman"/>
          <w:szCs w:val="28"/>
        </w:rPr>
      </w:pPr>
    </w:p>
    <w:p w:rsidR="00821F61" w:rsidRPr="0099393D" w:rsidRDefault="00821F61" w:rsidP="00821F61">
      <w:pPr>
        <w:ind w:firstLine="708"/>
        <w:rPr>
          <w:rFonts w:eastAsia="Calibri" w:cs="Times New Roman"/>
          <w:szCs w:val="28"/>
        </w:rPr>
      </w:pPr>
    </w:p>
    <w:p w:rsidR="00821F61" w:rsidRPr="0099393D" w:rsidRDefault="00821F61" w:rsidP="00821F61">
      <w:pPr>
        <w:ind w:firstLine="708"/>
        <w:rPr>
          <w:rFonts w:eastAsia="Calibri" w:cs="Times New Roman"/>
          <w:szCs w:val="28"/>
        </w:rPr>
      </w:pPr>
    </w:p>
    <w:p w:rsidR="00821F61" w:rsidRPr="0099393D" w:rsidRDefault="00821F61" w:rsidP="00821F61">
      <w:pPr>
        <w:ind w:firstLine="708"/>
        <w:rPr>
          <w:rFonts w:eastAsia="Calibri" w:cs="Times New Roman"/>
          <w:szCs w:val="28"/>
        </w:rPr>
      </w:pPr>
    </w:p>
    <w:p w:rsidR="00821F61" w:rsidRPr="0099393D" w:rsidRDefault="00821F61" w:rsidP="00821F61">
      <w:pPr>
        <w:ind w:firstLine="708"/>
        <w:rPr>
          <w:rFonts w:eastAsia="Calibri" w:cs="Times New Roman"/>
          <w:szCs w:val="28"/>
        </w:rPr>
      </w:pPr>
    </w:p>
    <w:p w:rsidR="00821F61" w:rsidRPr="0099393D" w:rsidRDefault="00821F61" w:rsidP="00821F61">
      <w:pPr>
        <w:ind w:firstLine="708"/>
        <w:rPr>
          <w:rFonts w:eastAsia="Calibri" w:cs="Times New Roman"/>
          <w:szCs w:val="28"/>
        </w:rPr>
      </w:pPr>
    </w:p>
    <w:p w:rsidR="00821F61" w:rsidRDefault="00821F61" w:rsidP="00821F61">
      <w:pPr>
        <w:jc w:val="center"/>
        <w:rPr>
          <w:rFonts w:eastAsia="Calibri" w:cs="Times New Roman"/>
          <w:szCs w:val="28"/>
        </w:rPr>
      </w:pPr>
      <w:proofErr w:type="spellStart"/>
      <w:r>
        <w:rPr>
          <w:rFonts w:eastAsia="Calibri" w:cs="Times New Roman"/>
          <w:szCs w:val="28"/>
        </w:rPr>
        <w:t>р.п</w:t>
      </w:r>
      <w:proofErr w:type="spellEnd"/>
      <w:r>
        <w:rPr>
          <w:rFonts w:eastAsia="Calibri" w:cs="Times New Roman"/>
          <w:szCs w:val="28"/>
        </w:rPr>
        <w:t>. Дмитриевка 2020</w:t>
      </w:r>
    </w:p>
    <w:p w:rsidR="00821F61" w:rsidRDefault="00821F61" w:rsidP="00821F61">
      <w:pPr>
        <w:rPr>
          <w:rFonts w:eastAsia="Calibri" w:cs="Times New Roman"/>
          <w:szCs w:val="28"/>
        </w:rPr>
      </w:pPr>
    </w:p>
    <w:p w:rsidR="00821F61" w:rsidRPr="00821F61" w:rsidRDefault="00821F61" w:rsidP="005052AC">
      <w:pPr>
        <w:ind w:firstLine="708"/>
        <w:rPr>
          <w:rFonts w:eastAsia="Calibri" w:cs="Times New Roman"/>
          <w:szCs w:val="28"/>
        </w:rPr>
      </w:pPr>
      <w:r w:rsidRPr="00821F61">
        <w:rPr>
          <w:rFonts w:eastAsia="Calibri" w:cs="Times New Roman"/>
          <w:szCs w:val="28"/>
        </w:rPr>
        <w:lastRenderedPageBreak/>
        <w:t>На протяжении двухсот летнего периода времени во многих музеях сложились уникальные коллекционные собрания старинных музыкальных инструментов. Отправной точкой своего широкого распространения гармонь относит ко второй половине 60-х годов Х</w:t>
      </w:r>
      <w:proofErr w:type="gramStart"/>
      <w:r w:rsidRPr="00821F61">
        <w:rPr>
          <w:rFonts w:eastAsia="Calibri" w:cs="Times New Roman"/>
          <w:szCs w:val="28"/>
          <w:lang w:val="en-US"/>
        </w:rPr>
        <w:t>I</w:t>
      </w:r>
      <w:proofErr w:type="gramEnd"/>
      <w:r w:rsidRPr="00821F61">
        <w:rPr>
          <w:rFonts w:eastAsia="Calibri" w:cs="Times New Roman"/>
          <w:szCs w:val="28"/>
        </w:rPr>
        <w:t xml:space="preserve">Х века. Именно в эти годы, вслед за тульскими мастерами, производство инструмента возникает в Орловской и Вятской </w:t>
      </w:r>
      <w:proofErr w:type="gramStart"/>
      <w:r w:rsidRPr="00821F61">
        <w:rPr>
          <w:rFonts w:eastAsia="Calibri" w:cs="Times New Roman"/>
          <w:szCs w:val="28"/>
        </w:rPr>
        <w:t>губерниях</w:t>
      </w:r>
      <w:proofErr w:type="gramEnd"/>
      <w:r w:rsidRPr="00821F61">
        <w:rPr>
          <w:rFonts w:eastAsia="Calibri" w:cs="Times New Roman"/>
          <w:szCs w:val="28"/>
        </w:rPr>
        <w:t xml:space="preserve">, а в начале 70-х годов и в других районах Средней России. Объем производства гармоник в 80-90-х годах, был тесно связан с бурным промышленным развитием страны. А наиболее урожайные года совпадали с повышением спроса на гармони и ростом производства, особенно </w:t>
      </w:r>
      <w:proofErr w:type="gramStart"/>
      <w:r w:rsidRPr="00821F61">
        <w:rPr>
          <w:rFonts w:eastAsia="Calibri" w:cs="Times New Roman"/>
          <w:szCs w:val="28"/>
        </w:rPr>
        <w:t>дешевых</w:t>
      </w:r>
      <w:proofErr w:type="gramEnd"/>
      <w:r w:rsidRPr="00821F61">
        <w:rPr>
          <w:rFonts w:eastAsia="Calibri" w:cs="Times New Roman"/>
          <w:szCs w:val="28"/>
        </w:rPr>
        <w:t>, это очевидно было связанно с покупательской способностью основной массы трудового крестьянства.</w:t>
      </w:r>
    </w:p>
    <w:p w:rsidR="00821F61" w:rsidRPr="00821F61" w:rsidRDefault="00821F61" w:rsidP="00821F61">
      <w:pPr>
        <w:ind w:firstLine="708"/>
        <w:rPr>
          <w:rFonts w:eastAsia="Calibri" w:cs="Times New Roman"/>
          <w:szCs w:val="28"/>
        </w:rPr>
      </w:pPr>
      <w:r w:rsidRPr="00821F61">
        <w:rPr>
          <w:rFonts w:eastAsia="Calibri" w:cs="Times New Roman"/>
          <w:szCs w:val="28"/>
        </w:rPr>
        <w:t xml:space="preserve">Обширное распространение вятки предшествовало быстрому освоению хромки. Характерно, что ее освоение, в свою очередь подготовило распространение баяна во многих районах Верхнего Поволжья, сыгравшего большую роль в развитии искусства на гармони. Так единый принцип </w:t>
      </w:r>
      <w:proofErr w:type="spellStart"/>
      <w:r w:rsidRPr="00821F61">
        <w:rPr>
          <w:rFonts w:eastAsia="Calibri" w:cs="Times New Roman"/>
          <w:szCs w:val="28"/>
        </w:rPr>
        <w:t>звукоизвлечения</w:t>
      </w:r>
      <w:proofErr w:type="spellEnd"/>
      <w:r w:rsidRPr="00821F61">
        <w:rPr>
          <w:rFonts w:eastAsia="Calibri" w:cs="Times New Roman"/>
          <w:szCs w:val="28"/>
        </w:rPr>
        <w:t xml:space="preserve"> на диатонических и усовершенствованного типа гармоней позволяет без труда исполнителям перенимать приемы игры и наигрыши своих отцов. </w:t>
      </w:r>
    </w:p>
    <w:p w:rsidR="00821F61" w:rsidRPr="00821F61" w:rsidRDefault="00821F61" w:rsidP="00821F61">
      <w:pPr>
        <w:ind w:firstLine="708"/>
        <w:rPr>
          <w:rFonts w:eastAsia="Calibri" w:cs="Times New Roman"/>
          <w:szCs w:val="28"/>
        </w:rPr>
      </w:pPr>
      <w:r w:rsidRPr="00821F61">
        <w:rPr>
          <w:rFonts w:eastAsia="Calibri" w:cs="Times New Roman"/>
          <w:szCs w:val="28"/>
        </w:rPr>
        <w:t>Такое переплетение и преемственность в развитии русских народных музыкальных инструментов благотворно сказалось на развитии национального стиля искусства гармонистов.</w:t>
      </w:r>
    </w:p>
    <w:p w:rsidR="00821F61" w:rsidRPr="00821F61" w:rsidRDefault="00821F61" w:rsidP="00821F61">
      <w:pPr>
        <w:ind w:firstLine="708"/>
        <w:rPr>
          <w:rFonts w:eastAsia="Calibri" w:cs="Times New Roman"/>
          <w:szCs w:val="28"/>
        </w:rPr>
      </w:pPr>
      <w:r w:rsidRPr="00821F61">
        <w:rPr>
          <w:rFonts w:eastAsia="Calibri" w:cs="Times New Roman"/>
          <w:szCs w:val="28"/>
        </w:rPr>
        <w:t xml:space="preserve">В научно-методической литературе подробно изучаются различные инструментоведческие аспекты: вопросы классификации инструментов, их органологические особенности, технологии изготовления и используемые материалы, музыкальный строй, приемы </w:t>
      </w:r>
      <w:proofErr w:type="spellStart"/>
      <w:r w:rsidRPr="00821F61">
        <w:rPr>
          <w:rFonts w:eastAsia="Calibri" w:cs="Times New Roman"/>
          <w:szCs w:val="28"/>
        </w:rPr>
        <w:t>звукоизвлечения</w:t>
      </w:r>
      <w:proofErr w:type="spellEnd"/>
      <w:r w:rsidRPr="00821F61">
        <w:rPr>
          <w:rFonts w:eastAsia="Calibri" w:cs="Times New Roman"/>
          <w:szCs w:val="28"/>
        </w:rPr>
        <w:t xml:space="preserve"> и другие. А также относительно подробно описывается контекст бытования различных инструментов. Но исследования собственно самой инструментальной музыки до сих пор остается мало изученной, поэтому такое явление как народная инструментальная музыка остается не раскрытой.</w:t>
      </w:r>
    </w:p>
    <w:p w:rsidR="00821F61" w:rsidRPr="00821F61" w:rsidRDefault="00821F61" w:rsidP="00821F61">
      <w:pPr>
        <w:ind w:firstLine="708"/>
        <w:rPr>
          <w:rFonts w:eastAsia="Calibri" w:cs="Times New Roman"/>
          <w:szCs w:val="28"/>
        </w:rPr>
      </w:pPr>
      <w:r w:rsidRPr="00821F61">
        <w:rPr>
          <w:rFonts w:eastAsia="Calibri" w:cs="Times New Roman"/>
          <w:szCs w:val="28"/>
        </w:rPr>
        <w:lastRenderedPageBreak/>
        <w:t xml:space="preserve">«Одним из первых ученых, обративших внимание на необходимость приоритетного исследования именно музыкального содержания инструментальной музыки, был Н.М. Лисовский. В работе «Отзыв о сочинении А.С. Фаминцына “Гусли – русский народный музыкальный инструмент”» (1893) он написал: </w:t>
      </w:r>
      <w:proofErr w:type="gramStart"/>
      <w:r w:rsidRPr="00821F61">
        <w:rPr>
          <w:rFonts w:eastAsia="Calibri" w:cs="Times New Roman"/>
          <w:szCs w:val="28"/>
        </w:rPr>
        <w:t xml:space="preserve">«В числе материалов для исторического изучения русских народных инструментов первое место должно было бы принадлежать музыке этих инструментов», – пишет А.А. </w:t>
      </w:r>
      <w:proofErr w:type="spellStart"/>
      <w:r w:rsidRPr="00821F61">
        <w:rPr>
          <w:rFonts w:eastAsia="Calibri" w:cs="Times New Roman"/>
          <w:szCs w:val="28"/>
        </w:rPr>
        <w:t>Мехнецов</w:t>
      </w:r>
      <w:proofErr w:type="spellEnd"/>
      <w:r w:rsidRPr="00821F61">
        <w:rPr>
          <w:rFonts w:eastAsia="Calibri" w:cs="Times New Roman"/>
          <w:szCs w:val="28"/>
        </w:rPr>
        <w:t xml:space="preserve"> </w:t>
      </w:r>
      <w:r w:rsidRPr="00821F61">
        <w:rPr>
          <w:rFonts w:eastAsia="Calibri" w:cs="Times New Roman"/>
          <w:szCs w:val="28"/>
        </w:rPr>
        <w:sym w:font="Symbol" w:char="F05B"/>
      </w:r>
      <w:r w:rsidR="005052AC">
        <w:rPr>
          <w:rFonts w:eastAsia="Calibri" w:cs="Times New Roman"/>
          <w:szCs w:val="28"/>
        </w:rPr>
        <w:t>2</w:t>
      </w:r>
      <w:r w:rsidRPr="00821F61">
        <w:rPr>
          <w:rFonts w:eastAsia="Calibri" w:cs="Times New Roman"/>
          <w:szCs w:val="28"/>
        </w:rPr>
        <w:t>, с.6</w:t>
      </w:r>
      <w:r w:rsidRPr="00821F61">
        <w:rPr>
          <w:rFonts w:eastAsia="Calibri" w:cs="Times New Roman"/>
          <w:szCs w:val="28"/>
        </w:rPr>
        <w:sym w:font="Symbol" w:char="F05D"/>
      </w:r>
      <w:r w:rsidRPr="00821F61">
        <w:rPr>
          <w:rFonts w:eastAsia="Calibri" w:cs="Times New Roman"/>
          <w:szCs w:val="28"/>
        </w:rPr>
        <w:t>. Н.М. Лисовский утверждает в необходимости: заботиться о становлении коллекций музыкальных инструментов; наблюдать за употреблением инструментов в народе; записывать исполняемую на инструменте музыку; подмечать, какая музыка более свойственна тому или иному инструменту;</w:t>
      </w:r>
      <w:proofErr w:type="gramEnd"/>
      <w:r w:rsidRPr="00821F61">
        <w:rPr>
          <w:rFonts w:eastAsia="Calibri" w:cs="Times New Roman"/>
          <w:szCs w:val="28"/>
        </w:rPr>
        <w:t xml:space="preserve"> на основе полученных материалов, издавать сборники инструментальных наигрышей. </w:t>
      </w:r>
    </w:p>
    <w:p w:rsidR="00821F61" w:rsidRPr="00821F61" w:rsidRDefault="00821F61" w:rsidP="00821F61">
      <w:pPr>
        <w:rPr>
          <w:rFonts w:eastAsia="Calibri" w:cs="Times New Roman"/>
          <w:szCs w:val="28"/>
        </w:rPr>
      </w:pPr>
      <w:r w:rsidRPr="00821F61">
        <w:rPr>
          <w:rFonts w:eastAsia="Calibri" w:cs="Times New Roman"/>
          <w:szCs w:val="28"/>
        </w:rPr>
        <w:tab/>
        <w:t>По мнению исследователя, только так можно подготовить материал, который в итоге даст возможность для более широкого и полного изучения истории русских народных музыкальных инструментов.</w:t>
      </w:r>
    </w:p>
    <w:p w:rsidR="00821F61" w:rsidRPr="00821F61" w:rsidRDefault="00821F61" w:rsidP="00821F61">
      <w:pPr>
        <w:ind w:firstLine="708"/>
        <w:rPr>
          <w:rFonts w:eastAsia="Calibri" w:cs="Times New Roman"/>
          <w:szCs w:val="28"/>
        </w:rPr>
      </w:pPr>
      <w:r w:rsidRPr="00821F61">
        <w:rPr>
          <w:rFonts w:eastAsia="Calibri" w:cs="Times New Roman"/>
          <w:szCs w:val="28"/>
        </w:rPr>
        <w:t>В Х</w:t>
      </w:r>
      <w:proofErr w:type="gramStart"/>
      <w:r w:rsidRPr="00821F61">
        <w:rPr>
          <w:rFonts w:eastAsia="Calibri" w:cs="Times New Roman"/>
          <w:szCs w:val="28"/>
          <w:lang w:val="en-US"/>
        </w:rPr>
        <w:t>I</w:t>
      </w:r>
      <w:proofErr w:type="gramEnd"/>
      <w:r w:rsidRPr="00821F61">
        <w:rPr>
          <w:rFonts w:eastAsia="Calibri" w:cs="Times New Roman"/>
          <w:szCs w:val="28"/>
        </w:rPr>
        <w:t xml:space="preserve">Х – первой трети ХХ века многие видные музыкальные деятели придерживались такого мнения, что гармонь не является народным инструментом, что чуждое духу русского народа и не приносит ни какой пользы. «Гармонь своим быстрым распространением вытеснила почти все наши народные музыкальные инструменты и по ограниченному числу издаваемых звуков повлияла на искажение наших народных песен. Вследствие особого приспособления играемая мелодия сопровождается двумя аккордами на тонике и доминанте», </w:t>
      </w:r>
      <w:r w:rsidRPr="00821F61">
        <w:rPr>
          <w:rFonts w:eastAsia="Calibri" w:cs="Times New Roman"/>
          <w:szCs w:val="28"/>
        </w:rPr>
        <w:sym w:font="Symbol" w:char="F02D"/>
      </w:r>
      <w:r w:rsidRPr="00821F61">
        <w:rPr>
          <w:rFonts w:eastAsia="Calibri" w:cs="Times New Roman"/>
          <w:szCs w:val="28"/>
        </w:rPr>
        <w:t xml:space="preserve"> писал известный </w:t>
      </w:r>
      <w:proofErr w:type="spellStart"/>
      <w:r w:rsidRPr="00821F61">
        <w:rPr>
          <w:rFonts w:eastAsia="Calibri" w:cs="Times New Roman"/>
          <w:szCs w:val="28"/>
        </w:rPr>
        <w:t>инструментовед</w:t>
      </w:r>
      <w:proofErr w:type="spellEnd"/>
      <w:r w:rsidRPr="00821F61">
        <w:rPr>
          <w:rFonts w:eastAsia="Calibri" w:cs="Times New Roman"/>
          <w:szCs w:val="28"/>
        </w:rPr>
        <w:t xml:space="preserve"> М.О</w:t>
      </w:r>
      <w:r w:rsidR="005052AC">
        <w:rPr>
          <w:rFonts w:eastAsia="Calibri" w:cs="Times New Roman"/>
          <w:szCs w:val="28"/>
        </w:rPr>
        <w:t>. Петухов [18</w:t>
      </w:r>
      <w:r w:rsidRPr="00821F61">
        <w:rPr>
          <w:rFonts w:eastAsia="Calibri" w:cs="Times New Roman"/>
          <w:szCs w:val="28"/>
        </w:rPr>
        <w:t>, с.134]. Эта ситуация осложнялась массовым распространением различных видов гармоний практически по всей территории страны.</w:t>
      </w:r>
    </w:p>
    <w:p w:rsidR="00821F61" w:rsidRPr="00821F61" w:rsidRDefault="00821F61" w:rsidP="00821F61">
      <w:pPr>
        <w:ind w:firstLine="708"/>
        <w:rPr>
          <w:rFonts w:eastAsia="Calibri" w:cs="Times New Roman"/>
          <w:szCs w:val="28"/>
        </w:rPr>
      </w:pPr>
      <w:r w:rsidRPr="00821F61">
        <w:rPr>
          <w:rFonts w:eastAsia="Calibri" w:cs="Times New Roman"/>
          <w:szCs w:val="28"/>
        </w:rPr>
        <w:t xml:space="preserve">Такое восприятие гармони как явления чуждого русской народной музыкальной культуре отложило отпечаток на отсутствии фонографических записей </w:t>
      </w:r>
      <w:proofErr w:type="spellStart"/>
      <w:r w:rsidRPr="00821F61">
        <w:rPr>
          <w:rFonts w:eastAsia="Calibri" w:cs="Times New Roman"/>
          <w:szCs w:val="28"/>
        </w:rPr>
        <w:t>гармошечных</w:t>
      </w:r>
      <w:proofErr w:type="spellEnd"/>
      <w:r w:rsidRPr="00821F61">
        <w:rPr>
          <w:rFonts w:eastAsia="Calibri" w:cs="Times New Roman"/>
          <w:szCs w:val="28"/>
        </w:rPr>
        <w:t xml:space="preserve"> наигрышей. Как указывает А.А. </w:t>
      </w:r>
      <w:proofErr w:type="spellStart"/>
      <w:r w:rsidRPr="00821F61">
        <w:rPr>
          <w:rFonts w:eastAsia="Calibri" w:cs="Times New Roman"/>
          <w:szCs w:val="28"/>
        </w:rPr>
        <w:t>Банин</w:t>
      </w:r>
      <w:proofErr w:type="spellEnd"/>
      <w:r w:rsidRPr="00821F61">
        <w:rPr>
          <w:rFonts w:eastAsia="Calibri" w:cs="Times New Roman"/>
          <w:szCs w:val="28"/>
        </w:rPr>
        <w:t xml:space="preserve">, в своей </w:t>
      </w:r>
      <w:r w:rsidRPr="00821F61">
        <w:rPr>
          <w:rFonts w:eastAsia="Calibri" w:cs="Times New Roman"/>
          <w:szCs w:val="28"/>
        </w:rPr>
        <w:lastRenderedPageBreak/>
        <w:t>фольклористической деятельности такие собиратели, как Е.Э. Линева, А.М. Листопадов и М.Е. Пятницкий, которые применяли фонографы, проигнорировали эту сферу народной музыкальной культуры.</w:t>
      </w:r>
    </w:p>
    <w:p w:rsidR="00821F61" w:rsidRPr="00821F61" w:rsidRDefault="00821F61" w:rsidP="00821F61">
      <w:pPr>
        <w:ind w:firstLine="708"/>
        <w:rPr>
          <w:rFonts w:eastAsia="Calibri" w:cs="Times New Roman"/>
          <w:szCs w:val="28"/>
        </w:rPr>
      </w:pPr>
      <w:r w:rsidRPr="00821F61">
        <w:rPr>
          <w:rFonts w:eastAsia="Calibri" w:cs="Times New Roman"/>
          <w:szCs w:val="28"/>
        </w:rPr>
        <w:t xml:space="preserve">Крупнейший ученый Санкт-Петербургской-Ленинградской научной школы, академик Б.В. Асафьев, высказывал свое мнение об огромном значении народной инструментальной музыки, опираясь на свои наблюдения. </w:t>
      </w:r>
      <w:proofErr w:type="gramStart"/>
      <w:r w:rsidRPr="00821F61">
        <w:rPr>
          <w:rFonts w:eastAsia="Calibri" w:cs="Times New Roman"/>
          <w:szCs w:val="28"/>
        </w:rPr>
        <w:t>Он обращается к различным аспектам: исполнительский стиль, исполнительские приемы, искусство импровизации, проблема соотношения «нового» и «старого» в современной деревне.</w:t>
      </w:r>
      <w:proofErr w:type="gramEnd"/>
      <w:r w:rsidRPr="00821F61">
        <w:rPr>
          <w:rFonts w:eastAsia="Calibri" w:cs="Times New Roman"/>
          <w:szCs w:val="28"/>
        </w:rPr>
        <w:t xml:space="preserve"> «Под впечатлениями от своего путешествия по рекам летом 1925 года из Ленинграда в Астрахань и обратно, Б.В. Асафьев оставил красочное описание, касающееся традиции игры на гармони: «Единственно, на чем с удовольствием останавливался слух, - это на редких впечатлениях от инструментальных импровизаций на гармонике, иногда на берегу или в лодках, иногда на корме парохода. … Искусство варьирования – строго говоря, ”фигурирования” – свежо, дерзко и изобретательно. Чувствуется желание щегольнуть, удивить и ослепить в контраст жалобной монотонной песне-романсу. Когда однажды мне удалось подслушать такого импровизатора, аккомпанировавшего частушке, эффект был удивительный: он обвивал залихватский, но неизменный напев словно плющом – фигурации, одна затейливей другой, роились вокруг голоса, а после каждого куплета врывался веселый наигрыш и заманивал певца. … Новизна многих оборотов и ритмическая бодрость и организованность заставили меня невольно обратить внимание на указанное явление и отметить его как отрадное среди множества отрицательных музыкальных впечатлений»,- отмечает </w:t>
      </w:r>
      <w:r w:rsidR="00EA6C3A">
        <w:rPr>
          <w:rFonts w:eastAsia="Calibri" w:cs="Times New Roman"/>
          <w:szCs w:val="28"/>
        </w:rPr>
        <w:t xml:space="preserve">в своей работе А.А. </w:t>
      </w:r>
      <w:proofErr w:type="spellStart"/>
      <w:r w:rsidR="00EA6C3A">
        <w:rPr>
          <w:rFonts w:eastAsia="Calibri" w:cs="Times New Roman"/>
          <w:szCs w:val="28"/>
        </w:rPr>
        <w:t>Мехнецов</w:t>
      </w:r>
      <w:proofErr w:type="spellEnd"/>
      <w:r w:rsidR="00EA6C3A">
        <w:rPr>
          <w:rFonts w:eastAsia="Calibri" w:cs="Times New Roman"/>
          <w:szCs w:val="28"/>
        </w:rPr>
        <w:t xml:space="preserve"> [2</w:t>
      </w:r>
      <w:r w:rsidRPr="00821F61">
        <w:rPr>
          <w:rFonts w:eastAsia="Calibri" w:cs="Times New Roman"/>
          <w:szCs w:val="28"/>
        </w:rPr>
        <w:t>, с.9]</w:t>
      </w:r>
    </w:p>
    <w:p w:rsidR="00821F61" w:rsidRPr="00821F61" w:rsidRDefault="00821F61" w:rsidP="00821F61">
      <w:pPr>
        <w:ind w:firstLine="708"/>
        <w:rPr>
          <w:rFonts w:eastAsia="Calibri" w:cs="Times New Roman"/>
          <w:szCs w:val="28"/>
        </w:rPr>
      </w:pPr>
      <w:r w:rsidRPr="00821F61">
        <w:rPr>
          <w:rFonts w:eastAsia="Calibri" w:cs="Times New Roman"/>
          <w:szCs w:val="28"/>
        </w:rPr>
        <w:t xml:space="preserve">Первые же записи игры на гармони были осуществлены З.В. </w:t>
      </w:r>
      <w:proofErr w:type="spellStart"/>
      <w:r w:rsidRPr="00821F61">
        <w:rPr>
          <w:rFonts w:eastAsia="Calibri" w:cs="Times New Roman"/>
          <w:szCs w:val="28"/>
        </w:rPr>
        <w:t>Эвальдом</w:t>
      </w:r>
      <w:proofErr w:type="spellEnd"/>
      <w:r w:rsidRPr="00821F61">
        <w:rPr>
          <w:rFonts w:eastAsia="Calibri" w:cs="Times New Roman"/>
          <w:szCs w:val="28"/>
        </w:rPr>
        <w:t xml:space="preserve">, учеником Б.В. Асафьева, в Воронежской, Рязанской и Калужской областях. Наигрыши на гармониках были записаны и опубликованы другим его учеником – Е.В. </w:t>
      </w:r>
      <w:proofErr w:type="spellStart"/>
      <w:r w:rsidRPr="00821F61">
        <w:rPr>
          <w:rFonts w:eastAsia="Calibri" w:cs="Times New Roman"/>
          <w:szCs w:val="28"/>
        </w:rPr>
        <w:t>Гиппиусом</w:t>
      </w:r>
      <w:proofErr w:type="spellEnd"/>
      <w:r w:rsidRPr="00821F61">
        <w:rPr>
          <w:rFonts w:eastAsia="Calibri" w:cs="Times New Roman"/>
          <w:szCs w:val="28"/>
        </w:rPr>
        <w:t xml:space="preserve"> в 1936 году в статье «Интонационные элементы русской частушки». В ней впервые предпринята и реализована попытка </w:t>
      </w:r>
      <w:r w:rsidRPr="00821F61">
        <w:rPr>
          <w:rFonts w:eastAsia="Calibri" w:cs="Times New Roman"/>
          <w:szCs w:val="28"/>
        </w:rPr>
        <w:lastRenderedPageBreak/>
        <w:t xml:space="preserve">изучения техники игры на инструменте, применена нотная расшифровка обозначения разжима и сжима меха, а также использование </w:t>
      </w:r>
      <w:proofErr w:type="gramStart"/>
      <w:r w:rsidRPr="00821F61">
        <w:rPr>
          <w:rFonts w:eastAsia="Calibri" w:cs="Times New Roman"/>
          <w:szCs w:val="28"/>
        </w:rPr>
        <w:t>нотной-цифровой</w:t>
      </w:r>
      <w:proofErr w:type="gramEnd"/>
      <w:r w:rsidRPr="00821F61">
        <w:rPr>
          <w:rFonts w:eastAsia="Calibri" w:cs="Times New Roman"/>
          <w:szCs w:val="28"/>
        </w:rPr>
        <w:t xml:space="preserve"> системы при анализе, освещенной еще в самоучителях игры на гармонике Х</w:t>
      </w:r>
      <w:r w:rsidRPr="00821F61">
        <w:rPr>
          <w:rFonts w:eastAsia="Calibri" w:cs="Times New Roman"/>
          <w:szCs w:val="28"/>
          <w:lang w:val="en-US"/>
        </w:rPr>
        <w:t>I</w:t>
      </w:r>
      <w:r w:rsidRPr="00821F61">
        <w:rPr>
          <w:rFonts w:eastAsia="Calibri" w:cs="Times New Roman"/>
          <w:szCs w:val="28"/>
        </w:rPr>
        <w:t xml:space="preserve">Х века. Впоследствии, к сожалению, данные опыты не были продолжены ни Е.В. </w:t>
      </w:r>
      <w:proofErr w:type="spellStart"/>
      <w:r w:rsidRPr="00821F61">
        <w:rPr>
          <w:rFonts w:eastAsia="Calibri" w:cs="Times New Roman"/>
          <w:szCs w:val="28"/>
        </w:rPr>
        <w:t>Гиппиусом</w:t>
      </w:r>
      <w:proofErr w:type="spellEnd"/>
      <w:r w:rsidRPr="00821F61">
        <w:rPr>
          <w:rFonts w:eastAsia="Calibri" w:cs="Times New Roman"/>
          <w:szCs w:val="28"/>
        </w:rPr>
        <w:t>, ни другими исследователями.</w:t>
      </w:r>
    </w:p>
    <w:p w:rsidR="00821F61" w:rsidRPr="00821F61" w:rsidRDefault="00821F61" w:rsidP="00821F61">
      <w:pPr>
        <w:ind w:firstLine="708"/>
        <w:rPr>
          <w:rFonts w:eastAsia="Calibri" w:cs="Times New Roman"/>
          <w:szCs w:val="28"/>
        </w:rPr>
      </w:pPr>
      <w:r w:rsidRPr="00821F61">
        <w:rPr>
          <w:rFonts w:eastAsia="Calibri" w:cs="Times New Roman"/>
          <w:szCs w:val="28"/>
        </w:rPr>
        <w:t xml:space="preserve">Конструктивные особенности хромки способствовали возникновению и использованию характерных исполнительских приемов. На инструменте, у которого высота извлекаемых звуков не зависит от направления движения меха, умение владеть им становится на первом месте. В связи с чем, работа мехом становится одним из важнейших опознавательных признаков местной инструментальной традиции. Особый характер движения меха является для носителей традиций определяющим компонентом содержания и стиля местной игры и проявляясь в </w:t>
      </w:r>
      <w:proofErr w:type="spellStart"/>
      <w:r w:rsidRPr="00821F61">
        <w:rPr>
          <w:rFonts w:eastAsia="Calibri" w:cs="Times New Roman"/>
          <w:szCs w:val="28"/>
        </w:rPr>
        <w:t>ритмо</w:t>
      </w:r>
      <w:proofErr w:type="spellEnd"/>
      <w:r w:rsidRPr="00821F61">
        <w:rPr>
          <w:rFonts w:eastAsia="Calibri" w:cs="Times New Roman"/>
          <w:szCs w:val="28"/>
        </w:rPr>
        <w:t>-акцентном плане наигрыша. Поэтому освоение принципов движения меха, выработанных поколениями, происходило уже на начальной стадии обучения.</w:t>
      </w:r>
    </w:p>
    <w:p w:rsidR="00821F61" w:rsidRPr="00821F61" w:rsidRDefault="00821F61" w:rsidP="00821F61">
      <w:pPr>
        <w:rPr>
          <w:rFonts w:eastAsia="Calibri" w:cs="Times New Roman"/>
          <w:szCs w:val="28"/>
        </w:rPr>
      </w:pPr>
      <w:r w:rsidRPr="00821F61">
        <w:rPr>
          <w:rFonts w:eastAsia="Calibri" w:cs="Times New Roman"/>
          <w:szCs w:val="28"/>
        </w:rPr>
        <w:tab/>
        <w:t xml:space="preserve">Очень характерно использование «короткого меха», то есть не полное растяжение меха, а ограничение движения его на половину длины. Одним из частых приемов является регулярная и ритмичная смена направления меха на слабом времени. «Суть приема заключается в следующем: после нажатия клавиши происходит ее удержание, одновременно с которым осуществляется смена направления движения меха. Именно таким способом создается акцент и возникает дробление длительности», – поясняет А.А. </w:t>
      </w:r>
      <w:proofErr w:type="spellStart"/>
      <w:r w:rsidRPr="00821F61">
        <w:rPr>
          <w:rFonts w:eastAsia="Calibri" w:cs="Times New Roman"/>
          <w:szCs w:val="28"/>
        </w:rPr>
        <w:t>Мехнецов</w:t>
      </w:r>
      <w:proofErr w:type="spellEnd"/>
      <w:r w:rsidRPr="00821F61">
        <w:rPr>
          <w:rFonts w:eastAsia="Calibri" w:cs="Times New Roman"/>
          <w:szCs w:val="28"/>
        </w:rPr>
        <w:t xml:space="preserve"> </w:t>
      </w:r>
      <w:r w:rsidRPr="00821F61">
        <w:rPr>
          <w:rFonts w:eastAsia="Calibri" w:cs="Times New Roman"/>
          <w:szCs w:val="28"/>
        </w:rPr>
        <w:sym w:font="Symbol" w:char="F05B"/>
      </w:r>
      <w:r w:rsidR="00EA6C3A">
        <w:rPr>
          <w:rFonts w:eastAsia="Calibri" w:cs="Times New Roman"/>
          <w:szCs w:val="28"/>
        </w:rPr>
        <w:t>2</w:t>
      </w:r>
      <w:r w:rsidRPr="00821F61">
        <w:rPr>
          <w:rFonts w:eastAsia="Calibri" w:cs="Times New Roman"/>
          <w:szCs w:val="28"/>
        </w:rPr>
        <w:t>, с. 57</w:t>
      </w:r>
      <w:r w:rsidRPr="00821F61">
        <w:rPr>
          <w:rFonts w:eastAsia="Calibri" w:cs="Times New Roman"/>
          <w:szCs w:val="28"/>
        </w:rPr>
        <w:sym w:font="Symbol" w:char="F05D"/>
      </w:r>
      <w:r w:rsidRPr="00821F61">
        <w:rPr>
          <w:rFonts w:eastAsia="Calibri" w:cs="Times New Roman"/>
          <w:szCs w:val="28"/>
        </w:rPr>
        <w:t>.</w:t>
      </w:r>
    </w:p>
    <w:p w:rsidR="00821F61" w:rsidRPr="00821F61" w:rsidRDefault="00821F61" w:rsidP="00821F61">
      <w:pPr>
        <w:rPr>
          <w:rFonts w:eastAsia="Calibri" w:cs="Times New Roman"/>
          <w:szCs w:val="28"/>
        </w:rPr>
      </w:pPr>
      <w:r w:rsidRPr="00821F61">
        <w:rPr>
          <w:rFonts w:eastAsia="Calibri" w:cs="Times New Roman"/>
          <w:szCs w:val="28"/>
        </w:rPr>
        <w:tab/>
        <w:t>Еще один прием, в результате которого возникает особый колорит звучания, создаваемый игрой с акцентами – резким акцентированием различных долей наигрыша. Он связан со сменой меха в строго фиксированных точках инструментального наигрыша.</w:t>
      </w:r>
    </w:p>
    <w:p w:rsidR="00821F61" w:rsidRPr="00821F61" w:rsidRDefault="00821F61" w:rsidP="00821F61">
      <w:pPr>
        <w:rPr>
          <w:rFonts w:eastAsia="Calibri" w:cs="Times New Roman"/>
          <w:szCs w:val="28"/>
        </w:rPr>
      </w:pPr>
      <w:r w:rsidRPr="00821F61">
        <w:rPr>
          <w:rFonts w:eastAsia="Calibri" w:cs="Times New Roman"/>
          <w:szCs w:val="28"/>
        </w:rPr>
        <w:tab/>
        <w:t xml:space="preserve">Таким образом, можно заметить, что при игре на хромке, в зависимости от местности: между двумя звуками, </w:t>
      </w:r>
      <w:proofErr w:type="gramStart"/>
      <w:r w:rsidRPr="00821F61">
        <w:rPr>
          <w:rFonts w:eastAsia="Calibri" w:cs="Times New Roman"/>
          <w:szCs w:val="28"/>
        </w:rPr>
        <w:t>находящихся</w:t>
      </w:r>
      <w:proofErr w:type="gramEnd"/>
      <w:r w:rsidRPr="00821F61">
        <w:rPr>
          <w:rFonts w:eastAsia="Calibri" w:cs="Times New Roman"/>
          <w:szCs w:val="28"/>
        </w:rPr>
        <w:t xml:space="preserve"> на одной высоте и имеющих одинаковую длительность звучания, должна происходит смена движения меха.</w:t>
      </w:r>
    </w:p>
    <w:p w:rsidR="00821F61" w:rsidRPr="00821F61" w:rsidRDefault="00821F61" w:rsidP="00821F61">
      <w:pPr>
        <w:rPr>
          <w:rFonts w:eastAsia="Calibri" w:cs="Times New Roman"/>
          <w:szCs w:val="28"/>
        </w:rPr>
      </w:pPr>
      <w:r w:rsidRPr="00821F61">
        <w:rPr>
          <w:rFonts w:eastAsia="Calibri" w:cs="Times New Roman"/>
          <w:szCs w:val="28"/>
        </w:rPr>
        <w:lastRenderedPageBreak/>
        <w:tab/>
        <w:t>Зрительно незаметным с первого взгляда становится прием, когда палец правой руки прижимает не одну клавишу, а две, иногда три, клавиши. При исполнении палец должен быть абсолютно прямым, слегка зажатым; прикосновение к клавишам производится не «подушечкой», а в районе фаланг. На слух возникает эффект розлива.</w:t>
      </w:r>
    </w:p>
    <w:p w:rsidR="00821F61" w:rsidRPr="00821F61" w:rsidRDefault="00821F61" w:rsidP="00821F61">
      <w:pPr>
        <w:rPr>
          <w:rFonts w:eastAsia="Calibri" w:cs="Times New Roman"/>
          <w:szCs w:val="28"/>
        </w:rPr>
      </w:pPr>
      <w:r w:rsidRPr="00821F61">
        <w:rPr>
          <w:rFonts w:eastAsia="Calibri" w:cs="Times New Roman"/>
          <w:szCs w:val="28"/>
        </w:rPr>
        <w:tab/>
        <w:t>Одним из ярких исполнительских приемов является «</w:t>
      </w:r>
      <w:proofErr w:type="spellStart"/>
      <w:r w:rsidRPr="00821F61">
        <w:rPr>
          <w:rFonts w:eastAsia="Calibri" w:cs="Times New Roman"/>
          <w:szCs w:val="28"/>
        </w:rPr>
        <w:t>подтряхивание</w:t>
      </w:r>
      <w:proofErr w:type="spellEnd"/>
      <w:r w:rsidRPr="00821F61">
        <w:rPr>
          <w:rFonts w:eastAsia="Calibri" w:cs="Times New Roman"/>
          <w:szCs w:val="28"/>
        </w:rPr>
        <w:t>», его еще называют «</w:t>
      </w:r>
      <w:proofErr w:type="spellStart"/>
      <w:r w:rsidRPr="00821F61">
        <w:rPr>
          <w:rFonts w:eastAsia="Calibri" w:cs="Times New Roman"/>
          <w:szCs w:val="28"/>
        </w:rPr>
        <w:t>притряхивание</w:t>
      </w:r>
      <w:proofErr w:type="spellEnd"/>
      <w:r w:rsidRPr="00821F61">
        <w:rPr>
          <w:rFonts w:eastAsia="Calibri" w:cs="Times New Roman"/>
          <w:szCs w:val="28"/>
        </w:rPr>
        <w:t>», «</w:t>
      </w:r>
      <w:proofErr w:type="spellStart"/>
      <w:r w:rsidRPr="00821F61">
        <w:rPr>
          <w:rFonts w:eastAsia="Calibri" w:cs="Times New Roman"/>
          <w:szCs w:val="28"/>
        </w:rPr>
        <w:t>притряска</w:t>
      </w:r>
      <w:proofErr w:type="spellEnd"/>
      <w:r w:rsidRPr="00821F61">
        <w:rPr>
          <w:rFonts w:eastAsia="Calibri" w:cs="Times New Roman"/>
          <w:szCs w:val="28"/>
        </w:rPr>
        <w:t xml:space="preserve">». Характер этого </w:t>
      </w:r>
      <w:proofErr w:type="spellStart"/>
      <w:r w:rsidRPr="00821F61">
        <w:rPr>
          <w:rFonts w:eastAsia="Calibri" w:cs="Times New Roman"/>
          <w:szCs w:val="28"/>
        </w:rPr>
        <w:t>звукоизвлечения</w:t>
      </w:r>
      <w:proofErr w:type="spellEnd"/>
      <w:r w:rsidRPr="00821F61">
        <w:rPr>
          <w:rFonts w:eastAsia="Calibri" w:cs="Times New Roman"/>
          <w:szCs w:val="28"/>
        </w:rPr>
        <w:t xml:space="preserve"> – пульсирующий и динамичный, с резким акцентами, на слух создает эффект «репетиции» или «тремоло» мехом. В отличие от классического тремоло мехом на баяне, </w:t>
      </w:r>
      <w:proofErr w:type="spellStart"/>
      <w:r w:rsidRPr="00821F61">
        <w:rPr>
          <w:rFonts w:eastAsia="Calibri" w:cs="Times New Roman"/>
          <w:szCs w:val="28"/>
        </w:rPr>
        <w:t>подтряхивание</w:t>
      </w:r>
      <w:proofErr w:type="spellEnd"/>
      <w:r w:rsidRPr="00821F61">
        <w:rPr>
          <w:rFonts w:eastAsia="Calibri" w:cs="Times New Roman"/>
          <w:szCs w:val="28"/>
        </w:rPr>
        <w:t>, осуществляется при помощи частых движений правой руки.</w:t>
      </w:r>
    </w:p>
    <w:p w:rsidR="00821F61" w:rsidRPr="00821F61" w:rsidRDefault="00821F61" w:rsidP="00821F61">
      <w:pPr>
        <w:rPr>
          <w:rFonts w:eastAsia="Calibri" w:cs="Times New Roman"/>
          <w:szCs w:val="28"/>
        </w:rPr>
      </w:pPr>
      <w:r w:rsidRPr="00821F61">
        <w:rPr>
          <w:rFonts w:eastAsia="Calibri" w:cs="Times New Roman"/>
          <w:szCs w:val="28"/>
        </w:rPr>
        <w:tab/>
        <w:t>От сюда следует, что техника владения мехом традиционной гармонной игры, системно связанной со всей областью народной инструментальной музыки, устанавливает коренное отличие от игры на баяне. Этим обусловлено и музыкально-стилевое отличие традиционной игры на гармони и художественной самодеятельности, для которых характерно применение основных принципов баянной техники. К сожалению, весь процесс обучения игре на гармони, на который опираются в музыкальных школах и культпросвет училищах, строится на опыте преподавания баянистов, что приводит к разрушению и искажению стилевого своеобразия традиционного наигрыша.</w:t>
      </w:r>
    </w:p>
    <w:p w:rsidR="00821F61" w:rsidRPr="00821F61" w:rsidRDefault="00821F61" w:rsidP="00821F61">
      <w:pPr>
        <w:rPr>
          <w:rFonts w:eastAsia="Calibri" w:cs="Times New Roman"/>
          <w:szCs w:val="28"/>
        </w:rPr>
      </w:pPr>
      <w:r w:rsidRPr="00821F61">
        <w:rPr>
          <w:rFonts w:eastAsia="Calibri" w:cs="Times New Roman"/>
          <w:szCs w:val="28"/>
        </w:rPr>
        <w:tab/>
        <w:t xml:space="preserve">Объективно рассматривая область профессиональной подготовки исполнителей на гармони, можно отметить, что преобладает практика предлагать ученикам различные пьесы для баяна взамен традиционных наигрышей, и в связи с этим пренебрежение </w:t>
      </w:r>
      <w:proofErr w:type="gramStart"/>
      <w:r w:rsidRPr="00821F61">
        <w:rPr>
          <w:rFonts w:eastAsia="Calibri" w:cs="Times New Roman"/>
          <w:szCs w:val="28"/>
        </w:rPr>
        <w:t>к</w:t>
      </w:r>
      <w:proofErr w:type="gramEnd"/>
      <w:r w:rsidRPr="00821F61">
        <w:rPr>
          <w:rFonts w:eastAsia="Calibri" w:cs="Times New Roman"/>
          <w:szCs w:val="28"/>
        </w:rPr>
        <w:t xml:space="preserve"> сложившимся традиционных приемов игры на инструменте, прочна. Эта установка формирует снисходительное отношение к инструменту, в понимании, что это всего лишь диатонический вариант баяна с ограниченными возможностями.</w:t>
      </w:r>
    </w:p>
    <w:p w:rsidR="00821F61" w:rsidRPr="00821F61" w:rsidRDefault="00821F61" w:rsidP="00821F61">
      <w:pPr>
        <w:rPr>
          <w:rFonts w:eastAsia="Calibri" w:cs="Times New Roman"/>
          <w:szCs w:val="28"/>
        </w:rPr>
      </w:pPr>
      <w:r w:rsidRPr="00821F61">
        <w:rPr>
          <w:rFonts w:eastAsia="Calibri" w:cs="Times New Roman"/>
          <w:szCs w:val="28"/>
        </w:rPr>
        <w:tab/>
        <w:t xml:space="preserve">В повседневной жизни получение исполнительского опыта для деревенского гармониста могло быть участие в гуляньях, беседах, где </w:t>
      </w:r>
      <w:r w:rsidRPr="00821F61">
        <w:rPr>
          <w:rFonts w:eastAsia="Calibri" w:cs="Times New Roman"/>
          <w:szCs w:val="28"/>
        </w:rPr>
        <w:lastRenderedPageBreak/>
        <w:t>происходило общение и обмен накопленными навыками с другими музыкантами. Именно творческое общение и расширение слухового багажа способствовало конструктивному и продуктивному развитию исполнительских навыков.</w:t>
      </w:r>
    </w:p>
    <w:p w:rsidR="00821F61" w:rsidRPr="00821F61" w:rsidRDefault="00821F61" w:rsidP="00821F61">
      <w:pPr>
        <w:ind w:firstLine="708"/>
        <w:rPr>
          <w:rFonts w:eastAsia="Calibri" w:cs="Times New Roman"/>
          <w:szCs w:val="28"/>
        </w:rPr>
      </w:pPr>
      <w:r w:rsidRPr="00821F61">
        <w:rPr>
          <w:rFonts w:eastAsia="Calibri" w:cs="Times New Roman"/>
          <w:szCs w:val="28"/>
        </w:rPr>
        <w:t>Естественно все обучение игре на инструменте не заканчивается отработкой техники исполнения различных приемов игры. Основной успех и последующая популярность гармониста зависит от грамотного использования музыкального материала в тех или иных жизненных ситуациях.</w:t>
      </w:r>
    </w:p>
    <w:p w:rsidR="00821F61" w:rsidRDefault="00821F61" w:rsidP="00821F61">
      <w:pPr>
        <w:rPr>
          <w:rFonts w:eastAsia="Calibri" w:cs="Times New Roman"/>
          <w:szCs w:val="28"/>
        </w:rPr>
      </w:pPr>
    </w:p>
    <w:p w:rsidR="005F524C" w:rsidRDefault="005052AC">
      <w:r>
        <w:t>Список литературы:</w:t>
      </w:r>
    </w:p>
    <w:p w:rsidR="002B58B9" w:rsidRDefault="002B58B9">
      <w:bookmarkStart w:id="0" w:name="_GoBack"/>
      <w:bookmarkEnd w:id="0"/>
    </w:p>
    <w:p w:rsidR="005052AC" w:rsidRPr="005052AC" w:rsidRDefault="005052AC" w:rsidP="005052AC">
      <w:pPr>
        <w:numPr>
          <w:ilvl w:val="0"/>
          <w:numId w:val="1"/>
        </w:numPr>
      </w:pPr>
      <w:r w:rsidRPr="005052AC">
        <w:t xml:space="preserve">Мациевский, И. Народный музыкальный инструмент и методология его </w:t>
      </w:r>
      <w:proofErr w:type="gramStart"/>
      <w:r w:rsidRPr="005052AC">
        <w:t>исследования</w:t>
      </w:r>
      <w:proofErr w:type="gramEnd"/>
      <w:r w:rsidRPr="005052AC">
        <w:t xml:space="preserve"> // Актуальные проблемы современной фольклористики: [Текст] Сб. статей и материалов. – Л.: Музыка, 1980. – с. 143-169</w:t>
      </w:r>
    </w:p>
    <w:p w:rsidR="005052AC" w:rsidRPr="005052AC" w:rsidRDefault="005052AC" w:rsidP="005052AC">
      <w:pPr>
        <w:numPr>
          <w:ilvl w:val="0"/>
          <w:numId w:val="1"/>
        </w:numPr>
      </w:pPr>
      <w:proofErr w:type="spellStart"/>
      <w:r w:rsidRPr="005052AC">
        <w:rPr>
          <w:bCs/>
        </w:rPr>
        <w:t>Мехнецов</w:t>
      </w:r>
      <w:proofErr w:type="spellEnd"/>
      <w:r w:rsidRPr="005052AC">
        <w:rPr>
          <w:bCs/>
        </w:rPr>
        <w:t>, А.А.</w:t>
      </w:r>
      <w:r w:rsidRPr="005052AC">
        <w:t xml:space="preserve"> Кирилловская гармонь-хромка в традиционной культуре </w:t>
      </w:r>
      <w:proofErr w:type="spellStart"/>
      <w:r w:rsidRPr="005052AC">
        <w:t>белозерья</w:t>
      </w:r>
      <w:proofErr w:type="spellEnd"/>
      <w:r w:rsidRPr="005052AC">
        <w:t xml:space="preserve"> [Текст] / Науч. Ред. И.С. Попова. – Вологда: Вологодский научно-методический центр культуры и повышения </w:t>
      </w:r>
      <w:proofErr w:type="spellStart"/>
      <w:r w:rsidRPr="005052AC">
        <w:t>квальфикации</w:t>
      </w:r>
      <w:proofErr w:type="spellEnd"/>
      <w:r w:rsidRPr="005052AC">
        <w:t>, 2005. – 272 с.: нот</w:t>
      </w:r>
      <w:proofErr w:type="gramStart"/>
      <w:r w:rsidRPr="005052AC">
        <w:t xml:space="preserve">., </w:t>
      </w:r>
      <w:proofErr w:type="spellStart"/>
      <w:proofErr w:type="gramEnd"/>
      <w:r w:rsidRPr="005052AC">
        <w:t>илл</w:t>
      </w:r>
      <w:proofErr w:type="spellEnd"/>
      <w:r w:rsidRPr="005052AC">
        <w:t>.. компакт-диск.</w:t>
      </w:r>
    </w:p>
    <w:p w:rsidR="005052AC" w:rsidRPr="005052AC" w:rsidRDefault="005052AC" w:rsidP="005052AC">
      <w:pPr>
        <w:numPr>
          <w:ilvl w:val="0"/>
          <w:numId w:val="1"/>
        </w:numPr>
      </w:pPr>
      <w:proofErr w:type="spellStart"/>
      <w:r w:rsidRPr="005052AC">
        <w:rPr>
          <w:bCs/>
        </w:rPr>
        <w:t>Мехнецов</w:t>
      </w:r>
      <w:proofErr w:type="spellEnd"/>
      <w:r w:rsidRPr="005052AC">
        <w:rPr>
          <w:bCs/>
        </w:rPr>
        <w:t>, А.А.</w:t>
      </w:r>
      <w:r w:rsidRPr="005052AC">
        <w:t> О стилевых особенностях игры на кирилловской гармони в западных районах Вологодской области // Народная традиционная культура и современность: [Текст] Материалы научно-практической конференции (</w:t>
      </w:r>
      <w:proofErr w:type="gramStart"/>
      <w:r w:rsidRPr="005052AC">
        <w:t>с</w:t>
      </w:r>
      <w:proofErr w:type="gramEnd"/>
      <w:r w:rsidRPr="005052AC">
        <w:t xml:space="preserve">. </w:t>
      </w:r>
      <w:proofErr w:type="gramStart"/>
      <w:r w:rsidRPr="005052AC">
        <w:t>Нюксеница</w:t>
      </w:r>
      <w:proofErr w:type="gramEnd"/>
      <w:r w:rsidRPr="005052AC">
        <w:t>, 5 октября, 2003 г.). – Вологда: Изд-во обл. науч</w:t>
      </w:r>
      <w:proofErr w:type="gramStart"/>
      <w:r w:rsidRPr="005052AC">
        <w:t>.-</w:t>
      </w:r>
      <w:proofErr w:type="gramEnd"/>
      <w:r w:rsidRPr="005052AC">
        <w:t>метод. центра культуры и повышения квалификации, 2004. – С. 135-150.</w:t>
      </w:r>
    </w:p>
    <w:p w:rsidR="005052AC" w:rsidRPr="005052AC" w:rsidRDefault="005052AC" w:rsidP="005052AC">
      <w:pPr>
        <w:numPr>
          <w:ilvl w:val="0"/>
          <w:numId w:val="1"/>
        </w:numPr>
      </w:pPr>
      <w:proofErr w:type="spellStart"/>
      <w:r w:rsidRPr="005052AC">
        <w:t>Мехнецов</w:t>
      </w:r>
      <w:proofErr w:type="spellEnd"/>
      <w:r w:rsidRPr="005052AC">
        <w:t xml:space="preserve">, А.М. «Курс лекций по инструментальной музыке» (1997-2000). [Рукопись]. Ссылка на данную рукопись дается в монографии А.А. </w:t>
      </w:r>
      <w:proofErr w:type="spellStart"/>
      <w:r w:rsidRPr="005052AC">
        <w:t>Мехнецова</w:t>
      </w:r>
      <w:proofErr w:type="spellEnd"/>
      <w:r w:rsidRPr="005052AC">
        <w:t xml:space="preserve"> «Кирилловская гармонь-хромка в традиционной культуре </w:t>
      </w:r>
      <w:proofErr w:type="spellStart"/>
      <w:r w:rsidRPr="005052AC">
        <w:t>Белозерья</w:t>
      </w:r>
      <w:proofErr w:type="spellEnd"/>
      <w:r w:rsidRPr="005052AC">
        <w:t>»</w:t>
      </w:r>
    </w:p>
    <w:p w:rsidR="005052AC" w:rsidRPr="005052AC" w:rsidRDefault="005052AC" w:rsidP="005052AC">
      <w:pPr>
        <w:numPr>
          <w:ilvl w:val="0"/>
          <w:numId w:val="1"/>
        </w:numPr>
      </w:pPr>
      <w:proofErr w:type="spellStart"/>
      <w:r w:rsidRPr="005052AC">
        <w:rPr>
          <w:bCs/>
        </w:rPr>
        <w:lastRenderedPageBreak/>
        <w:t>Мирек</w:t>
      </w:r>
      <w:proofErr w:type="spellEnd"/>
      <w:r w:rsidRPr="005052AC">
        <w:rPr>
          <w:bCs/>
        </w:rPr>
        <w:t>, А.</w:t>
      </w:r>
      <w:r w:rsidRPr="005052AC">
        <w:t xml:space="preserve"> ...И звучит гармоника. [Текст] – М.: </w:t>
      </w:r>
      <w:proofErr w:type="spellStart"/>
      <w:r w:rsidRPr="005052AC">
        <w:t>Сов</w:t>
      </w:r>
      <w:proofErr w:type="gramStart"/>
      <w:r w:rsidRPr="005052AC">
        <w:t>.к</w:t>
      </w:r>
      <w:proofErr w:type="gramEnd"/>
      <w:r w:rsidRPr="005052AC">
        <w:t>омпозитор</w:t>
      </w:r>
      <w:proofErr w:type="spellEnd"/>
      <w:r w:rsidRPr="005052AC">
        <w:t>, 1979. – 176 с.</w:t>
      </w:r>
    </w:p>
    <w:p w:rsidR="005052AC" w:rsidRPr="005052AC" w:rsidRDefault="005052AC" w:rsidP="005052AC">
      <w:pPr>
        <w:numPr>
          <w:ilvl w:val="0"/>
          <w:numId w:val="1"/>
        </w:numPr>
      </w:pPr>
      <w:proofErr w:type="spellStart"/>
      <w:r w:rsidRPr="005052AC">
        <w:rPr>
          <w:bCs/>
        </w:rPr>
        <w:t>Мирек</w:t>
      </w:r>
      <w:proofErr w:type="spellEnd"/>
      <w:r w:rsidRPr="005052AC">
        <w:rPr>
          <w:bCs/>
        </w:rPr>
        <w:t>, А.</w:t>
      </w:r>
      <w:r w:rsidRPr="005052AC">
        <w:t> Из истории аккордеона и баяна. [Текст] – М.: Музыка, 1967. – 195 с.</w:t>
      </w:r>
    </w:p>
    <w:p w:rsidR="005052AC" w:rsidRPr="005052AC" w:rsidRDefault="005052AC" w:rsidP="005052AC">
      <w:pPr>
        <w:numPr>
          <w:ilvl w:val="0"/>
          <w:numId w:val="1"/>
        </w:numPr>
      </w:pPr>
      <w:proofErr w:type="spellStart"/>
      <w:r w:rsidRPr="005052AC">
        <w:rPr>
          <w:bCs/>
        </w:rPr>
        <w:t>Мирек</w:t>
      </w:r>
      <w:proofErr w:type="spellEnd"/>
      <w:r w:rsidRPr="005052AC">
        <w:rPr>
          <w:bCs/>
        </w:rPr>
        <w:t>, А. </w:t>
      </w:r>
      <w:r w:rsidRPr="005052AC">
        <w:t>Справочник по гармоникам. [Текст] – М.: Музыка, 1968. – 130 с.</w:t>
      </w:r>
    </w:p>
    <w:p w:rsidR="005052AC" w:rsidRPr="005052AC" w:rsidRDefault="005052AC" w:rsidP="005052AC">
      <w:pPr>
        <w:numPr>
          <w:ilvl w:val="0"/>
          <w:numId w:val="1"/>
        </w:numPr>
      </w:pPr>
      <w:proofErr w:type="spellStart"/>
      <w:r w:rsidRPr="005052AC">
        <w:rPr>
          <w:bCs/>
        </w:rPr>
        <w:t>Мирек</w:t>
      </w:r>
      <w:proofErr w:type="spellEnd"/>
      <w:r w:rsidRPr="005052AC">
        <w:rPr>
          <w:bCs/>
        </w:rPr>
        <w:t>, А.М.</w:t>
      </w:r>
      <w:r w:rsidRPr="005052AC">
        <w:t> Гармоника. Прошлое и настоящее. [Текст] Научно-историческая энциклопедическая книга. – М.: ИНТЕРПРАКС, 1994. – 534 с.: нот.</w:t>
      </w:r>
    </w:p>
    <w:p w:rsidR="005052AC" w:rsidRPr="005052AC" w:rsidRDefault="005052AC" w:rsidP="005052AC">
      <w:pPr>
        <w:numPr>
          <w:ilvl w:val="0"/>
          <w:numId w:val="1"/>
        </w:numPr>
      </w:pPr>
      <w:r w:rsidRPr="005052AC">
        <w:t xml:space="preserve">Михайлова, А.А. Звучит гармонь саратовская… </w:t>
      </w:r>
      <w:r w:rsidRPr="005052AC">
        <w:rPr>
          <w:lang w:val="en-US"/>
        </w:rPr>
        <w:t>[</w:t>
      </w:r>
      <w:r w:rsidRPr="005052AC">
        <w:t>Текст</w:t>
      </w:r>
      <w:r w:rsidRPr="005052AC">
        <w:rPr>
          <w:lang w:val="en-US"/>
        </w:rPr>
        <w:t xml:space="preserve">] </w:t>
      </w:r>
      <w:r w:rsidRPr="005052AC">
        <w:sym w:font="Symbol" w:char="F02D"/>
      </w:r>
      <w:r w:rsidRPr="005052AC">
        <w:t xml:space="preserve"> М.: Композитор, 2009. – 92с.</w:t>
      </w:r>
    </w:p>
    <w:p w:rsidR="005052AC" w:rsidRPr="005052AC" w:rsidRDefault="005052AC" w:rsidP="005052AC">
      <w:pPr>
        <w:numPr>
          <w:ilvl w:val="0"/>
          <w:numId w:val="1"/>
        </w:numPr>
      </w:pPr>
      <w:r w:rsidRPr="005052AC">
        <w:t xml:space="preserve">Михайлова, А.А. Саратовская гармоника как феномен традиционной культуры Поволжья [Текст] // Сб. статей памяти </w:t>
      </w:r>
      <w:proofErr w:type="spellStart"/>
      <w:r w:rsidRPr="005052AC">
        <w:t>Л.Христиансена</w:t>
      </w:r>
      <w:proofErr w:type="spellEnd"/>
      <w:r w:rsidRPr="005052AC">
        <w:t>. – М.: Композитор, 2010. – С.267-278</w:t>
      </w:r>
    </w:p>
    <w:p w:rsidR="005052AC" w:rsidRPr="005052AC" w:rsidRDefault="005052AC" w:rsidP="005052AC">
      <w:pPr>
        <w:numPr>
          <w:ilvl w:val="0"/>
          <w:numId w:val="1"/>
        </w:numPr>
      </w:pPr>
      <w:r w:rsidRPr="005052AC">
        <w:t xml:space="preserve">Москвичева, С.А. Гармоника и ее место в традиционной культуре Тамбовской области [Текст] // Православная история и традиционная культура: материалы </w:t>
      </w:r>
      <w:r w:rsidRPr="005052AC">
        <w:rPr>
          <w:lang w:val="en-US"/>
        </w:rPr>
        <w:t>III</w:t>
      </w:r>
      <w:r w:rsidRPr="005052AC">
        <w:t xml:space="preserve"> Международной научно-практической конференции. 22-23 </w:t>
      </w:r>
      <w:proofErr w:type="spellStart"/>
      <w:r w:rsidRPr="005052AC">
        <w:t>матра</w:t>
      </w:r>
      <w:proofErr w:type="spellEnd"/>
      <w:r w:rsidRPr="005052AC">
        <w:t xml:space="preserve"> 2011года / </w:t>
      </w:r>
      <w:proofErr w:type="gramStart"/>
      <w:r w:rsidRPr="005052AC">
        <w:t>М-во</w:t>
      </w:r>
      <w:proofErr w:type="gramEnd"/>
      <w:r w:rsidRPr="005052AC">
        <w:t xml:space="preserve"> обр. и науки РФ </w:t>
      </w:r>
      <w:r w:rsidRPr="005052AC">
        <w:sym w:font="Symbol" w:char="F05B"/>
      </w:r>
      <w:r w:rsidRPr="005052AC">
        <w:t xml:space="preserve"> и др.</w:t>
      </w:r>
      <w:r w:rsidRPr="005052AC">
        <w:sym w:font="Symbol" w:char="F05D"/>
      </w:r>
      <w:r w:rsidRPr="005052AC">
        <w:t xml:space="preserve">; науч. ред. Л. Ю. </w:t>
      </w:r>
      <w:r w:rsidRPr="005052AC">
        <w:br/>
        <w:t>Евтихиева. – Тамбов</w:t>
      </w:r>
      <w:proofErr w:type="gramStart"/>
      <w:r w:rsidRPr="005052AC">
        <w:t xml:space="preserve">.: </w:t>
      </w:r>
      <w:proofErr w:type="spellStart"/>
      <w:proofErr w:type="gramEnd"/>
      <w:r w:rsidRPr="005052AC">
        <w:t>Принт</w:t>
      </w:r>
      <w:proofErr w:type="spellEnd"/>
      <w:r w:rsidRPr="005052AC">
        <w:t>-Сервис, 2012. – С. 247-263</w:t>
      </w:r>
    </w:p>
    <w:p w:rsidR="005052AC" w:rsidRPr="005052AC" w:rsidRDefault="005052AC" w:rsidP="005052AC">
      <w:pPr>
        <w:numPr>
          <w:ilvl w:val="0"/>
          <w:numId w:val="1"/>
        </w:numPr>
      </w:pPr>
      <w:proofErr w:type="spellStart"/>
      <w:r w:rsidRPr="005052AC">
        <w:rPr>
          <w:bCs/>
        </w:rPr>
        <w:t>Новосельский</w:t>
      </w:r>
      <w:proofErr w:type="spellEnd"/>
      <w:r w:rsidRPr="005052AC">
        <w:rPr>
          <w:bCs/>
        </w:rPr>
        <w:t>, А.А. </w:t>
      </w:r>
      <w:r w:rsidRPr="005052AC">
        <w:t xml:space="preserve">Книга о гармонике. </w:t>
      </w:r>
      <w:r w:rsidRPr="005052AC">
        <w:rPr>
          <w:lang w:val="en-US"/>
        </w:rPr>
        <w:t>[</w:t>
      </w:r>
      <w:r w:rsidRPr="005052AC">
        <w:t>Текст</w:t>
      </w:r>
      <w:r w:rsidRPr="005052AC">
        <w:rPr>
          <w:lang w:val="en-US"/>
        </w:rPr>
        <w:t>]</w:t>
      </w:r>
      <w:r w:rsidRPr="005052AC">
        <w:t xml:space="preserve"> – М.; Л., 1936. – 92 с.</w:t>
      </w:r>
    </w:p>
    <w:p w:rsidR="005052AC" w:rsidRPr="005052AC" w:rsidRDefault="005052AC" w:rsidP="005052AC">
      <w:pPr>
        <w:numPr>
          <w:ilvl w:val="0"/>
          <w:numId w:val="1"/>
        </w:numPr>
      </w:pPr>
      <w:proofErr w:type="spellStart"/>
      <w:r w:rsidRPr="005052AC">
        <w:rPr>
          <w:bCs/>
        </w:rPr>
        <w:t>Новосельский</w:t>
      </w:r>
      <w:proofErr w:type="spellEnd"/>
      <w:r w:rsidRPr="005052AC">
        <w:rPr>
          <w:bCs/>
        </w:rPr>
        <w:t>, А.А.</w:t>
      </w:r>
      <w:r w:rsidRPr="005052AC">
        <w:t xml:space="preserve"> Очерки по истории русских народных музыкальных инструментов. </w:t>
      </w:r>
      <w:r w:rsidRPr="005052AC">
        <w:rPr>
          <w:lang w:val="en-US"/>
        </w:rPr>
        <w:t>[</w:t>
      </w:r>
      <w:r w:rsidRPr="005052AC">
        <w:t>Текст</w:t>
      </w:r>
      <w:r w:rsidRPr="005052AC">
        <w:rPr>
          <w:lang w:val="en-US"/>
        </w:rPr>
        <w:t>]</w:t>
      </w:r>
      <w:r w:rsidRPr="005052AC">
        <w:t xml:space="preserve"> – М.: Гос. </w:t>
      </w:r>
      <w:proofErr w:type="spellStart"/>
      <w:r w:rsidRPr="005052AC">
        <w:t>муз</w:t>
      </w:r>
      <w:proofErr w:type="gramStart"/>
      <w:r w:rsidRPr="005052AC">
        <w:t>.и</w:t>
      </w:r>
      <w:proofErr w:type="gramEnd"/>
      <w:r w:rsidRPr="005052AC">
        <w:t>зд</w:t>
      </w:r>
      <w:proofErr w:type="spellEnd"/>
      <w:r w:rsidRPr="005052AC">
        <w:t>-во, 1931. – 47 с.</w:t>
      </w:r>
    </w:p>
    <w:p w:rsidR="005052AC" w:rsidRPr="005052AC" w:rsidRDefault="005052AC" w:rsidP="005052AC">
      <w:pPr>
        <w:numPr>
          <w:ilvl w:val="0"/>
          <w:numId w:val="1"/>
        </w:numPr>
      </w:pPr>
      <w:proofErr w:type="spellStart"/>
      <w:r w:rsidRPr="005052AC">
        <w:rPr>
          <w:bCs/>
        </w:rPr>
        <w:t>Новосельский</w:t>
      </w:r>
      <w:proofErr w:type="spellEnd"/>
      <w:r w:rsidRPr="005052AC">
        <w:rPr>
          <w:bCs/>
        </w:rPr>
        <w:t>, А.А.</w:t>
      </w:r>
      <w:r w:rsidRPr="005052AC">
        <w:t xml:space="preserve"> Самоучитель для двухрядной гармоники. </w:t>
      </w:r>
      <w:r w:rsidRPr="005052AC">
        <w:rPr>
          <w:lang w:val="en-US"/>
        </w:rPr>
        <w:t>[</w:t>
      </w:r>
      <w:r w:rsidRPr="005052AC">
        <w:t>Ноты</w:t>
      </w:r>
      <w:r w:rsidRPr="005052AC">
        <w:rPr>
          <w:lang w:val="en-US"/>
        </w:rPr>
        <w:t xml:space="preserve">] </w:t>
      </w:r>
      <w:r w:rsidRPr="005052AC">
        <w:t>– М., 1938.</w:t>
      </w:r>
    </w:p>
    <w:p w:rsidR="005052AC" w:rsidRPr="005052AC" w:rsidRDefault="005052AC" w:rsidP="005052AC">
      <w:pPr>
        <w:numPr>
          <w:ilvl w:val="0"/>
          <w:numId w:val="1"/>
        </w:numPr>
      </w:pPr>
      <w:proofErr w:type="spellStart"/>
      <w:r w:rsidRPr="005052AC">
        <w:rPr>
          <w:bCs/>
        </w:rPr>
        <w:t>Новосельский</w:t>
      </w:r>
      <w:proofErr w:type="spellEnd"/>
      <w:r w:rsidRPr="005052AC">
        <w:rPr>
          <w:bCs/>
        </w:rPr>
        <w:t>, А.А. </w:t>
      </w:r>
      <w:r w:rsidRPr="005052AC">
        <w:t>Технология производства гармоник [Текст] / Нар</w:t>
      </w:r>
      <w:proofErr w:type="gramStart"/>
      <w:r w:rsidRPr="005052AC">
        <w:t>.</w:t>
      </w:r>
      <w:proofErr w:type="gramEnd"/>
      <w:r w:rsidRPr="005052AC">
        <w:t> </w:t>
      </w:r>
      <w:proofErr w:type="gramStart"/>
      <w:r w:rsidRPr="005052AC">
        <w:t>к</w:t>
      </w:r>
      <w:proofErr w:type="gramEnd"/>
      <w:r w:rsidRPr="005052AC">
        <w:t>омиссариат местной промышленности РСФСР. – М.; Л., 1937. – 100 с.</w:t>
      </w:r>
    </w:p>
    <w:p w:rsidR="005052AC" w:rsidRPr="005052AC" w:rsidRDefault="005052AC" w:rsidP="005052AC">
      <w:pPr>
        <w:numPr>
          <w:ilvl w:val="0"/>
          <w:numId w:val="1"/>
        </w:numPr>
      </w:pPr>
      <w:r w:rsidRPr="005052AC">
        <w:lastRenderedPageBreak/>
        <w:t>О гармонике. Сборник работ комиссии по исследованию и усовершенствованию гармоник [Текст] / Под ред. А.А. Рождественского. – М., 1928. – 61 с. (Труды ГИМН).</w:t>
      </w:r>
    </w:p>
    <w:p w:rsidR="005052AC" w:rsidRPr="005052AC" w:rsidRDefault="005052AC" w:rsidP="005052AC">
      <w:pPr>
        <w:numPr>
          <w:ilvl w:val="0"/>
          <w:numId w:val="1"/>
        </w:numPr>
      </w:pPr>
      <w:r w:rsidRPr="005052AC">
        <w:rPr>
          <w:bCs/>
        </w:rPr>
        <w:t>Петрова, Л.Л.</w:t>
      </w:r>
      <w:r w:rsidRPr="005052AC">
        <w:t xml:space="preserve"> Ремесла и промыслы крестьян Кирилловского уезда [Текст] // Кириллов: Историко-краеведческий альманах. – Вологда: Русь, 1994. </w:t>
      </w:r>
      <w:proofErr w:type="spellStart"/>
      <w:r w:rsidRPr="005052AC">
        <w:t>Вып</w:t>
      </w:r>
      <w:proofErr w:type="spellEnd"/>
      <w:r w:rsidRPr="005052AC">
        <w:t>. 1. – С. 118-139.</w:t>
      </w:r>
    </w:p>
    <w:p w:rsidR="005052AC" w:rsidRPr="005052AC" w:rsidRDefault="005052AC" w:rsidP="005052AC">
      <w:pPr>
        <w:numPr>
          <w:ilvl w:val="0"/>
          <w:numId w:val="1"/>
        </w:numPr>
      </w:pPr>
      <w:r w:rsidRPr="005052AC">
        <w:rPr>
          <w:bCs/>
        </w:rPr>
        <w:t>Петухов, М.О. </w:t>
      </w:r>
      <w:r w:rsidRPr="005052AC">
        <w:t xml:space="preserve">Гармоника [Текст] // Энциклопедический словарь / Изд. Ф.А. Брокгауза и И.А. </w:t>
      </w:r>
      <w:proofErr w:type="spellStart"/>
      <w:r w:rsidRPr="005052AC">
        <w:t>Ефрона</w:t>
      </w:r>
      <w:proofErr w:type="spellEnd"/>
      <w:r w:rsidRPr="005052AC">
        <w:t>. – СПб</w:t>
      </w:r>
      <w:proofErr w:type="gramStart"/>
      <w:r w:rsidRPr="005052AC">
        <w:t xml:space="preserve">., </w:t>
      </w:r>
      <w:proofErr w:type="gramEnd"/>
      <w:r w:rsidRPr="005052AC">
        <w:t>1892. Т. 8, Кн. 15 – С. 131.</w:t>
      </w:r>
    </w:p>
    <w:p w:rsidR="005052AC" w:rsidRDefault="005052AC"/>
    <w:sectPr w:rsidR="00505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96AB3"/>
    <w:multiLevelType w:val="hybridMultilevel"/>
    <w:tmpl w:val="748212CE"/>
    <w:lvl w:ilvl="0" w:tplc="BC6C35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61"/>
    <w:rsid w:val="002B58B9"/>
    <w:rsid w:val="005052AC"/>
    <w:rsid w:val="005F524C"/>
    <w:rsid w:val="0075095F"/>
    <w:rsid w:val="00821F61"/>
    <w:rsid w:val="00EA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61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095F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4">
    <w:name w:val="Без интервала Знак"/>
    <w:basedOn w:val="a0"/>
    <w:link w:val="a3"/>
    <w:uiPriority w:val="1"/>
    <w:rsid w:val="00821F61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61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095F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4">
    <w:name w:val="Без интервала Знак"/>
    <w:basedOn w:val="a0"/>
    <w:link w:val="a3"/>
    <w:uiPriority w:val="1"/>
    <w:rsid w:val="00821F6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2021-08-13T15:14:00Z</dcterms:created>
  <dcterms:modified xsi:type="dcterms:W3CDTF">2021-08-13T15:43:00Z</dcterms:modified>
</cp:coreProperties>
</file>